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84"/>
        <w:gridCol w:w="115"/>
        <w:gridCol w:w="4857"/>
        <w:gridCol w:w="2020"/>
        <w:gridCol w:w="115"/>
        <w:gridCol w:w="114"/>
        <w:gridCol w:w="115"/>
        <w:gridCol w:w="115"/>
        <w:gridCol w:w="902"/>
        <w:gridCol w:w="115"/>
        <w:gridCol w:w="673"/>
        <w:gridCol w:w="115"/>
        <w:gridCol w:w="2035"/>
        <w:gridCol w:w="57"/>
      </w:tblGrid>
      <w:tr>
        <w:trPr>
          <w:trHeight w:val="115"/>
        </w:trPr>
        <w:tc>
          <w:tcPr>
            <w:tcW w:w="15632" w:type="dxa"/>
            <w:gridSpan w:val="14"/>
          </w:tcPr>
          <w:p/>
        </w:tc>
      </w:tr>
      <w:tr>
        <w:trPr>
          <w:trHeight w:val="788"/>
        </w:trPr>
        <w:tc>
          <w:tcPr>
            <w:tcW w:w="9256" w:type="dxa"/>
            <w:gridSpan w:val="3"/>
          </w:tcPr>
          <w:p/>
        </w:tc>
        <w:tc>
          <w:tcPr>
            <w:tcW w:w="2479" w:type="dxa"/>
            <w:gridSpan w:val="5"/>
            <w:tcMar>
              <w:top w:w="143" w:type="dxa"/>
              <w:left w:w="143" w:type="dxa"/>
              <w:right w:w="143" w:type="dxa"/>
            </w:tcMar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УТВЕРЖДАЮ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Руководитель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(уполномоченное лицо)</w:t>
            </w:r>
          </w:p>
        </w:tc>
        <w:tc>
          <w:tcPr>
            <w:tcW w:w="3897" w:type="dxa"/>
            <w:gridSpan w:val="6"/>
          </w:tcPr>
          <w:p/>
        </w:tc>
      </w:tr>
      <w:tr>
        <w:trPr>
          <w:trHeight w:val="5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МИНИСТЕРСТВО НАУКИ И ВЫСШЕГО ОБРАЗОВАНИЯ РОССИЙСКОЙ ФЕДЕРАЦИИ</w:t>
            </w:r>
          </w:p>
        </w:tc>
        <w:tc>
          <w:tcPr>
            <w:tcW w:w="57" w:type="dxa"/>
          </w:tcPr>
          <w:p/>
        </w:tc>
      </w:tr>
      <w:tr>
        <w:trPr>
          <w:trHeight w:val="68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57" w:type="dxa"/>
          </w:tcPr>
          <w:p/>
        </w:tc>
      </w:tr>
      <w:tr>
        <w:trPr>
          <w:trHeight w:val="2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 w:val="restart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Директор департамента</w:t>
            </w:r>
          </w:p>
        </w:tc>
        <w:tc>
          <w:tcPr>
            <w:tcW w:w="4241" w:type="dxa"/>
            <w:gridSpan w:val="9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u w:val="single"/>
                <w:color w:val="000000"/>
                <w:sz w:val="16"/>
                <w:spacing w:val="-2"/>
              </w:rPr>
            </w:pP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Швед Кира Алексеевна</w:t>
            </w:r>
          </w:p>
        </w:tc>
        <w:tc>
          <w:tcPr>
            <w:tcW w:w="57" w:type="dxa"/>
          </w:tcPr>
          <w:p/>
        </w:tc>
      </w:tr>
      <w:tr>
        <w:trPr>
          <w:trHeight w:val="230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(должность)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gridSpan w:val="3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(подпись)</w:t>
            </w: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(расшифровка подписи)</w:t>
            </w:r>
          </w:p>
        </w:tc>
        <w:tc>
          <w:tcPr>
            <w:tcW w:w="57" w:type="dxa"/>
          </w:tcPr>
          <w:p/>
        </w:tc>
      </w:tr>
      <w:tr>
        <w:trPr>
          <w:trHeight w:val="444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"   03   "    апреля     2025 г.</w:t>
            </w:r>
          </w:p>
        </w:tc>
        <w:tc>
          <w:tcPr>
            <w:tcW w:w="57" w:type="dxa"/>
          </w:tcPr>
          <w:p/>
        </w:tc>
      </w:tr>
      <w:tr>
        <w:trPr>
          <w:trHeight w:val="1132"/>
        </w:trPr>
        <w:tc>
          <w:tcPr>
            <w:tcW w:w="15632" w:type="dxa"/>
            <w:gridSpan w:val="14"/>
          </w:tcPr>
          <w:p/>
        </w:tc>
      </w:tr>
      <w:tr>
        <w:trPr>
          <w:trHeight w:val="344"/>
        </w:trPr>
        <w:tc>
          <w:tcPr>
            <w:tcW w:w="15575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  <w:shd w:val="auto"/>
              </w:rPr>
              <w:t xml:space="preserve">ГОСУДАРСТВЕННОЕ ЗАДАНИЕ № 075-00565-25-02</w:t>
            </w:r>
          </w:p>
        </w:tc>
        <w:tc>
          <w:tcPr>
            <w:tcW w:w="57" w:type="dxa"/>
          </w:tcPr>
          <w:p/>
        </w:tc>
      </w:tr>
      <w:tr>
        <w:trPr>
          <w:trHeight w:val="329"/>
        </w:trPr>
        <w:tc>
          <w:tcPr>
            <w:tcW w:w="15575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на 2025 год и на плановый период 2026 и 2027 годов</w:t>
            </w:r>
          </w:p>
        </w:tc>
        <w:tc>
          <w:tcPr>
            <w:tcW w:w="57" w:type="dxa"/>
          </w:tcPr>
          <w:p/>
        </w:tc>
      </w:tr>
      <w:tr>
        <w:trPr>
          <w:trHeight w:val="22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val="344"/>
        </w:trPr>
        <w:tc>
          <w:tcPr>
            <w:tcW w:w="13540" w:type="dxa"/>
            <w:gridSpan w:val="12"/>
            <w:tcBorders>
              <w:right w:val="single" w:color="000000" w:sz="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5" w:space="0"/>
              <w:bottom w:val="single" w:color="000000" w:sz="15" w:space="0"/>
              <w:right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Коды</w:t>
            </w:r>
          </w:p>
        </w:tc>
        <w:tc>
          <w:tcPr>
            <w:tcW w:w="57" w:type="dxa"/>
            <w:tcBorders>
              <w:left w:val="single" w:color="000000" w:sz="5" w:space="0"/>
            </w:tcBorders>
          </w:tcPr>
          <w:p/>
        </w:tc>
      </w:tr>
      <w:tr>
        <w:trPr>
          <w:trHeight w:val="330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Форма по ОКУД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0506001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начала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03.04.2025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276" w:type="dxa"/>
            <w:gridSpan w:val="4"/>
          </w:tcPr>
          <w:p/>
        </w:tc>
        <w:tc>
          <w:tcPr>
            <w:tcW w:w="2149" w:type="dxa"/>
            <w:gridSpan w:val="7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окончания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788"/>
        </w:trPr>
        <w:tc>
          <w:tcPr>
            <w:tcW w:w="4284" w:type="dxa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ФЕДЕРАЛЬНОЕ ГОСУДАРСТВЕННОЕ БЮДЖЕТНОЕ НАУЧНОЕ УЧРЕЖДЕНИЕ "ФЕДЕРАЛЬНЫЙ НАУЧНЫЙ ЦЕНТР "КАБАРДИНО-БАЛКАРСКИЙ НАУЧНЫЙ ЦЕНТР РОССИЙСКОЙ АКАДЕМИИ НАУК"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 по сводному</w:t>
            </w:r>
          </w:p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реестру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001Ч4298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284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библиотек и архивов;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284" w:type="dxa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Обучение профессиональное;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 w:val="restart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85.30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/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Подготовка кадров высшей квалификации;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 - магистратура;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85.22.3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 - специалитет;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85.22.2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 - бакалавриат;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85.22.1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организации конференций и выставок;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82.30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82.19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215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top w:val="single" w:color="000000" w:sz="5" w:space="0"/>
              <w:bottom w:val="single" w:color="000000" w:sz="5" w:space="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ветеринарная;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75.00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профессиональная, научная и техническая прочая, не включенная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74.90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письменному и устному переводу;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74.30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фотографии;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74.20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специализированная в области дизайна;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74.10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Исследование конъюнктуры рынка и изучение общественного мнения;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73.20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общественных и гуманитарных наук;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72.20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естественных и технических наук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72.19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биотехнологии;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Консультирование по вопросам коммерческой деятельности и управления;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70.22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оказанию услуг в области бухгалтерского учета, по проведению финансового аудита, по налоговому консультированию;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69.20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Аренда и управление собственным или арендованным недвижимым имуществом;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68.20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созданию и использованию баз данных и информационных ресурсов;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63.11.1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обработке данных, предоставление услуг по размещению информации и связанная с этим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сопровождению компьютерных систем;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62.03.13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подготовке компьютерных систем к эксплуатации;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62.02.4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планированию, проектированию компьютерных систем;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62.02.1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консультативная и работы в области компьютерных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компьютерного программного обеспечения;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книг;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складированию и хранению;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52.10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47.62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47.61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газом для заправки автомобилей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47.30.12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бензином и дизельным топливом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47.30.11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моторным топливом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47.30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фруктами и овощами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47.21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прочая в неспециализированных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47.19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47.11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оптовая книгами, газетами и журналами, писчебумажными и канцелярскими товарами;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46.49.3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оптовая фруктами и овощами;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46.31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оптовая зерном, необработанным табаком, семенами и кормами для сельскохозяйственных животных;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46.21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Техническое обслуживание и ремонт автотранспортных средств;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45.20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Забор и очистка воды для питьевых и промышленных нужд;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36.00.1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Обработка металлов и нанесение покрытий на металлы;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25.61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в области производства прочих пластмассовых изделий;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22.29.9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прочих изделий из пластмасс, не включенных в другие группировки, кроме устройств пломбировочных их пластика;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22.29.2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прочих пластмассовых изделий;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22.29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Рыбоводство пресноводное;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03.22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Обработка семян для посадки;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01.64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сельскохозяйственная после сбора урожая;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в области животноводства;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01.62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в области растениеводства;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Разведение овец и коз;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01.45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Разведение лошадей и прочих животных семейства лошадиных отряда непарнокопытных;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01.43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Разведение молочного крупного рогатого скота, производство сырого молока;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01.41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Выращивание прочих однолетних культур;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01.19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Выращивание овощей, бахчевых, корнеплодных и клубнеплодных культур, грибов и трюфелей;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01.13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Выращивание зерновых (кроме риса), зернобобовых культур и семян масличных культур.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01.11</w:t>
            </w: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top w:val="single" w:color="000000" w:sz="5" w:space="0"/>
              <w:bottom w:val="single" w:color="000000" w:sz="5" w:space="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bottom w:val="single" w:color="000000" w:sz="5" w:space="0"/>
            </w:tcBorders>
          </w:tcPr>
          <w:p/>
        </w:tc>
        <w:tc>
          <w:tcPr>
            <w:tcW w:w="2035" w:type="dxa"/>
            <w:gridSpan w:val="6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57" w:type="dxa"/>
            <w:tcBorders>
              <w:left w:val="single" w:color="000000" w:sz="15" w:space="0"/>
            </w:tcBorders>
          </w:tcPr>
          <w:p/>
        </w:tc>
      </w:tr>
      <w:tr>
        <w:trPr>
          <w:trHeight w:val="215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 w:val="restart"/>
            <w:tcMar>
              <w:left w:w="143" w:type="dxa"/>
              <w:right w:w="143" w:type="dxa"/>
            </w:tcMar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57" w:type="dxa"/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tcBorders>
              <w:top w:val="single" w:color="000000" w:sz="5" w:space="0"/>
            </w:tcBorders>
            <w:shd w:val="clear" w:color="auto" w:fill="auto"/>
          </w:tcPr>
          <w:p/>
        </w:tc>
        <w:tc>
          <w:tcPr>
            <w:tcW w:w="4127" w:type="dxa"/>
            <w:gridSpan w:val="8"/>
          </w:tcPr>
          <w:p/>
        </w:tc>
      </w:tr>
    </w:tbl>
    <w:sectPr>
      <w:headerReference xmlns:r="http://schemas.openxmlformats.org/officeDocument/2006/relationships" w:type="default" r:id="rIdh1"/>
      <w:footerReference xmlns:r="http://schemas.openxmlformats.org/officeDocument/2006/relationships" w:type="default" r:id="rIdf1"/>
      <w:pgSz w:w="16838" w:h="12472" w:orient="landscape"/>
      <w:pgMar w:top="567" w:right="567" w:bottom="517" w:left="567" w:header="567" w:footer="517" w:gutter="0"/>
    </w:sectPr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57"/>
        </w:tblGrid>
        <w:tr>
          <w:trPr>
            <w:trHeight w:val="115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I. Сведения об оказываемых государственных услугах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ББ50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– программ подготовки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00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1004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40"/>
            </w:tcPr>
            <w:p/>
          </w:tc>
        </w:tr>
        <w:tr>
          <w:trPr>
            <w:trHeight w:val="1117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852301О.99.0.ББ50АН24000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09.06.01 Информатика и вычислительная техника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4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01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распространения, 1060, 12.09.2013 г.;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г.;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402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1259, 19.11.2013 г.;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г..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573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Размещение информации на официальном сайте организации в сети Интернет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Режим работы учреждения, справочная информация, контактные данные, условия оказания услуги, порядок подачи жалоб и предложений, порядок оценки качества полученных услуг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Определяется приказом руководителя учреждения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6838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57"/>
        </w:tblGrid>
        <w:tr>
          <w:trPr>
            <w:trHeight w:val="444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БО34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подготовки научных 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00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1004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40"/>
            </w:tcPr>
            <w:p/>
          </w:tc>
        </w:tr>
        <w:tr>
          <w:trPr>
            <w:trHeight w:val="1117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850000О.99.0.БО34АА48002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1.1.2. Дифференциальные уравнения и математическая физика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850000О.99.0.БО34АД80002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1.2.1. Искусственный интеллект и машинное обучение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88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top w:val="single" w:color="000000" w:sz="5" w:space="0"/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850000О.99.0.БО34АЕ28002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1.2.2. Математическое моделирование, численные методы и комплексы программ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850000О.99.0.БО34ВЕ44002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2.3.1. Системный анализ, управление и обработка информации, статистика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850000О.99.0.БО34ВЖ40002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2.3.3. Автоматизация и управление технологическими процессами и производствами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850000О.99.0.БО34ВИ80002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2.3.8. Информатика и инфо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рмационные процессы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850000О.99.0.БО34ДН80002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4.1.1. Общее земледелие и растениеводство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850000О.99.0.БО34ДО28002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4.1.2. Селекция, семеноводство и биотехнология растений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850000О.99.0.БО34ДО76002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4.1.3. Агрохимия, агропочвоведение, защита и карантин растений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850000О.99.0.БО34ЕК28002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5.6.4. Этнология, антропология и 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9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чением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этнография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850000О.99.0.БО34ЕФ36002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5.9.1. Русская литература и литературы народов Российской Федерации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850000О.99.0.БО34ЖА96002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1.1. Математика и механика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850000О.99.0.БО34ЖБ44002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 Компьютерные науки и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850000О.99.0.БО34ЖВ88002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 Биологические науки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чением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 Науки о Земле и окружающей среде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850000О.99.0.БО34ЖД80002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 Информационные технологии и телекоммуникации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850000О.99.0.БО34ЖЛ08002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 Агрономия, лесное и водное хозяйство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032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Положения о подготовке научных и научно-педагогических кадров в аспирантуре (адъюнктуре), 2122, 30.11.2021 г.;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аспирантуре, 721, 06.08.2021 г.;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45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573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Размещение информации на официальном сайте организации в сети Интернет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Режим работы учреждения, справочная информация, контактные данные, условия оказания услуги, порядок подачи жалоб и предложений, порядок оценки качества полученных услуг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Определяется приказом руководителя учреждения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6838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344"/>
          <w:gridCol w:w="558"/>
          <w:gridCol w:w="230"/>
          <w:gridCol w:w="458"/>
          <w:gridCol w:w="115"/>
          <w:gridCol w:w="100"/>
          <w:gridCol w:w="688"/>
          <w:gridCol w:w="115"/>
          <w:gridCol w:w="673"/>
          <w:gridCol w:w="229"/>
          <w:gridCol w:w="559"/>
          <w:gridCol w:w="115"/>
          <w:gridCol w:w="114"/>
          <w:gridCol w:w="215"/>
          <w:gridCol w:w="229"/>
          <w:gridCol w:w="559"/>
          <w:gridCol w:w="115"/>
          <w:gridCol w:w="688"/>
          <w:gridCol w:w="57"/>
        </w:tblGrid>
        <w:tr>
          <w:trPr>
            <w:trHeight w:val="115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3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II. Сведения о выполняемых работах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34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8"/>
            </w:tcPr>
            <w:p/>
          </w:tc>
          <w:tc>
            <w:tcPr>
              <w:tcW w:w="1806" w:type="dxa"/>
              <w:gridSpan w:val="5"/>
              <w:tcBorders>
                <w:bottom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8"/>
            </w:tcPr>
            <w:p/>
          </w:tc>
          <w:tc>
            <w:tcPr>
              <w:tcW w:w="2479" w:type="dxa"/>
              <w:gridSpan w:val="7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5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БН60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8"/>
            </w:tcPr>
            <w:p/>
          </w:tc>
          <w:tc>
            <w:tcPr>
              <w:tcW w:w="2479" w:type="dxa"/>
              <w:gridSpan w:val="7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5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6"/>
            </w:tcPr>
            <w:p/>
          </w:tc>
          <w:tc>
            <w:tcPr>
              <w:tcW w:w="1806" w:type="dxa"/>
              <w:gridSpan w:val="5"/>
              <w:tcBorders>
                <w:top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72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2136" w:type="dxa"/>
              <w:gridSpan w:val="32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34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3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3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34"/>
            </w:tcPr>
            <w:p/>
          </w:tc>
        </w:tr>
        <w:tr>
          <w:trPr>
            <w:trHeight w:val="788"/>
          </w:trPr>
          <w:tc>
            <w:tcPr>
              <w:tcW w:w="15575" w:type="dxa"/>
              <w:gridSpan w:val="33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3726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64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34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6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1691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169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720000Ф.99.1.БН60АА00000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1.1.1. Общая математика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1024031200120-2-1.1.1;1.1.2 Краевые задачи и задачи оптимального управления для локальных и нелокальных уравнений математической физики (FMEW-2025-0006)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46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1024031900286-6-1.1.1;1.1.2 Численные методы исследования уравнений математической физики и оптимизация потоковых сетей (FMEW-2025-0011)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1024031900290-9-1.1.1;1.1.2 Математическое моделирование динамических природных процессов в геофизических 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687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средах (FMEW-2025-0014)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1024032000135-9-1.1.1;1.1.2 Краевые задачи для уравнений и систем с операторами дифференцирования дробного и распределенного порядка и их приложения (FMEW-2025-0015)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720000Ф.99.1.БН60АА03000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1.2.1. Компьютерные, информационные науки и биоинформатика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1024031900289-3-1.2.1 Разработка робастных методов и алгоритмов машинного обучения для повышения эффективности функционирования многослойных сетей (FMEW-2025-0013)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1024032700271-9-1.2.1 Методы, алгоритмы и системы распознавания многомодальных образов на основе мультиагентных нейрокогнитивных архитектур (FMEW-2025-0027)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89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1024032900237-9-1.2.1 Разработка теоретических основ, методов и алгоритмов 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коллаборативного интеллектуального проектирования и прототипирования мехатронных изделий и устройств (FMEW-2025-0030)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1024040100012-5-1.2.1 Разработка теоретических основ интеллектуального управления комплексной динамикой автономных роботов в реальной среде на основе мультиагентных нейрокогнитивных архитектур (FMEW-2025-0035)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1024040100013-4-1.2.1 Методы и модели коллаборативного проектирования и прототипирования биоинженерных нейрокомпьютерных интерфейсов (FMEW-2025-0036)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1024040100018-9-1.2.1 Разработка методов и алгоритмов создания интеллектуальных программных диалоговых обучающих агентов на основе мультиагентных нейрокогнитивных архитектур (FMEW-2025-0046)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86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1024040100019-8-1.2.1 Разработка теоретических основ, алгоритмов, методов и прикладных систем создания интеллектуальных робототехнических комплексов полного цикла селекции и семеноводства зерновых культур (FMEW-2025-0045)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1024040100021-3-1.2.1 Нейрокогнитивные методы и алгоритмы федеративного обучения мультиагентной имитационной модели процессов геннодетерминированного роста и развития растения (FMEW-2025-0047)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720000Ф.99.1.БН60АА09000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1.3.6. Оптика (включая лазерную оптику и квантовую оптику)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1024032600201-3-1.3.6 Разработка принципов создания ТГц волноводов и автоэмиссионных катодов на основе поликапиллярных структур (FMEW-2025-0019)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720000Ф.99.1.БН60АА27000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1.5.9. Нау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1024033100076-3-1.5.8 Сравнительный 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ки об окружающей среде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анализ подверженности горных территорий опасным процессам на примере Большого Кавказа и  Камчатско-Курильской  горной страны (FMEW-2025-0031)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720000Ф.99.1.БН60АА32000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1.5.14. Водные ресурсы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1024040100002-8-1.5.13 Особенности формирования химического состава поверхностных вод бассейна реки Терек на территории Центрального Кавказа под влиянием природных и антропогенных факторов (FMEW-2025-0032)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5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720000Ф.99.1.БН60АА97000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2.10.1. Нано-материалы (производство и свойства)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1024031900288-4-2.10.1;1.1.2 Функциональные наноматериалы, наносистемы и интегральные приборные структуры: математические модели и их реализация (FMEW-2025-0012)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720000Ф.99.1.БН60АБ60000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4.1.1. Сельскохозяйственные 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1024032100167-5-4.1.1 Усовершенствование технологий возделывания сельскохозяйственных культур и проведение  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науки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мониторинга влияния различных систем удобрения на агрофизические и биологические показатели почвы в     степной зоне КБР (FMEW-2025-0017)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720000Ф.99.1.БН60АБ65000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4.1.6. Агрономия, селекция и защита растений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1023032100157-1-4.1.6 Создать новые генотипы, конкурентоспособные  сорта и гибриды зерновых  культур и произвести  высококачественные семена  высших  репродукций (FMEW-2024-0003)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1023032200066-7-4.1.6 Разработать систему рационального применения средств химической и биологической защиты сортов и гибридов  зерновых культур от  вредных организмов в условиях КБР (FMEW-2024-0004)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1024032200059-4-4.1.6 Создание новых генотипов, конкурентоспособных сортов и гибридов зерновых культур и картофеля, производство высококачественных семян высших репродукций (FMEW-2027-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6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02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0001)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720000Ф.99.1.БН60АБ66000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4.2.1. Животноводство и молочное дело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1024032000271-0-4.2.1 Усовершенствование генетических и технологических методов управления селекционным процессом с целью установления оптимально-максимального соотношения основных признаков отбора с учётом зональных особенностей,  обеспечивающих конкурентоспособность и стабильное рентабельное производство (FMEW-2025-0016)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1024040100020-4-4.2.1 Разработка методов стимуляции роста, снижения химической и фармакологической нагрузки и улучшения качества мясной продукции в роботизированном птичнике на основе обогащения кормовых смесей наноразмерным бентонитом (FMEW-2025-0044)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9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720000Ф.99.1.БН60АБ73000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4.4.4. Селекция с пом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1024040100014-3-4.4.4 Методы молекулярной идентификации феногенетических процессов в 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ощью маркеров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интересах повышения продуктивности селекции растений и животных (FMEW-2025-0039)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720000Ф.99.1.БН60АБ80000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5.2.1. Экономика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1024032700241-8-5.2.1 Разработка механизмов управления локальным экономическим развитием в условиях неопределенности (FMEW-2025-0026)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1024032900163-5-5.2.1 Трансформация структуры экономической активности и роста в контексте развития отраслей smart-экономики в малых открытых инновационных системах (FMEW-2025-0029)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1024040100015-2-5.2.1 Разработка механизмов управления устойчивым развитием региона на основе мультиагентного моделирования процессов опережающего формирования отрасли производства интеллектуальных систем и робототехнических комплексов (FMEW-2025-0038)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86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720000Ф.99.1.БН60АБ87000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5.4.2. Демография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1024040100017-0-5.4.2 Разработка механизма управления трансформационными демографическими процессами в современных социально-экономических условиях северокавказского региона (по материалам Кабардино-Балкарской Республики) (FMEW-2025-0042)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720000Ф.99.1.БН60АВ07000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6.1.1. История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1024032500223-8-6.1.1 КАБАРДИНО-БАЛКАРИЯ В ХХ – ПЕРВОЙ ЧЕТВЕРТИ XXI ВЕКА: ОПЫТ ПОЛИТИЧЕСКИХ И СОЦИОКУЛЬТУРНЫХ ПРЕОБРАЗОВАНИЙ В ПРОЦЕССЕ ЭВОЛЮЦИИ РОССИЙСКОЙ ГОСУДАРСТВЕННОСТИ (FMEW-2025-0018)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1024032600314-6-6.1.1 ПРАКТИКИ ОБЩЕСТВЕННО-ГОСУДАРСТВЕННОГО ВЗАИМОДЕЙСТВИЯ КАК КУЛЬТУРНО-ИСТОРИЧЕСКИЙ ОПЫТ НАРОДОВ КАБАРДИНО-БАЛКАРИИ В СОСТАВЕ РОССИИ (FMEW-2025-0021)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1024032800514-8-6.1.1 СОЦИАЛЬНО-ЭКОНОМИЧЕСКОЕ РАЗВИТИЕ  И ИНТЕГРАЦИЯ В РОССИЙСКОЕ ОБЩЕИМПЕРСКОЕ ПРОСТРАНСТВО ГОСУДАРСТВЕННО-ПОЛИТИЧЕСКИХ ОБРАЗОВАНИЙ И ОБЩЕСТВ СЕВЕРО-ЗАПАДНОГО И ЦЕНТРАЛЬНОГО КАВКАЗА (XVII - XIX ВВ.) (FMEW-2025-0028)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1024040100009-1-6.1.1 Народы Центрального и Северо-Западного Кавказа во второй половине XVIII – начале XX века в документах российских архивов (FMEW-2025-0033)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46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1024040100016-1-6.1.1 Традиции и инновации в современном развитии северокавказского региона (по материалам Кабардино-Балкарской Республики) (FMEW-2025-0041)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720000Ф.99.1.БН60АВ08000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6.1.2. Археология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1024031900090-1-6.1.2 Исследование с помощью цифровых и роботизированных технологий и введение в 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исследование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научный оборот, археологических и палеографических памятников Юга России (FMEW-2025-0010)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720000Ф.99.1.БН60АВ12000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6.2.4. Теория литературы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1024032600317-3-6.2.4 ТРАНСФОРМАЦИЯ ХУДОЖЕСТВЕННОГО СОЗНАНИЯ И РАЗВИТИЕ АДЫГСКОЙ (АДЫГЕЙСКОЙ, КАБАРДИНСКОЙ, ЧЕРКЕССКОЙ, ЧЕРКЕССКОГО ЗАРУБЕЖЬЯ) И КАРАЧАЕВО-БАЛКАРСКОЙ ЛИТЕРАТУР ХХ–ХХI вв. В ОБЩЕРОССИЙСКОМ ПОЛИКУЛЬТУРНОМ ПРОСТРАНСТВЕ (FMEW-2025-0024)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0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720000Ф.99.1.БН60АВ14000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6.2.6. Лингвистика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1024032600318-2-6.2.6 КАБАРДИНО-ЧЕРКЕССКИЙ И КАРАЧАЕВО-БАЛКАРСКИЙ ЯЗЫКИ: ЛЕКСИКОГРАФИЯ, ФРАЗЕОЛОГИЯ, ЛИНГВОКУЛЬТУРОЛОГИЯ (FMEW-2025-0025)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720000Ф.99.1.БН60АВ26000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6.5.1. Прочие гуманитарные наук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1024032600315-5-6.5.1 ЭПИЧЕСКИЕ И ЛИРИЧЕСКИЕ ЖАНРЫ УСТНОГО НАРОДНОГО ТВОРЧЕСТВА АДЫГОВ 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(ЧЕРКЕСОВ) И КАРАЧАЕВО-БАЛКАРЦЕВ: ИССЛЕДОВАНИЕ И ПУБЛИКАЦИЯ ТЕКСТОВ (FMEW-2025-0022)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3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57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6838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344"/>
          <w:gridCol w:w="558"/>
          <w:gridCol w:w="230"/>
          <w:gridCol w:w="458"/>
          <w:gridCol w:w="115"/>
          <w:gridCol w:w="100"/>
          <w:gridCol w:w="688"/>
          <w:gridCol w:w="115"/>
          <w:gridCol w:w="673"/>
          <w:gridCol w:w="229"/>
          <w:gridCol w:w="559"/>
          <w:gridCol w:w="115"/>
          <w:gridCol w:w="114"/>
          <w:gridCol w:w="215"/>
          <w:gridCol w:w="229"/>
          <w:gridCol w:w="559"/>
          <w:gridCol w:w="115"/>
          <w:gridCol w:w="688"/>
          <w:gridCol w:w="57"/>
        </w:tblGrid>
        <w:tr>
          <w:trPr>
            <w:trHeight w:val="444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34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8"/>
            </w:tcPr>
            <w:p/>
          </w:tc>
          <w:tc>
            <w:tcPr>
              <w:tcW w:w="1806" w:type="dxa"/>
              <w:gridSpan w:val="5"/>
              <w:tcBorders>
                <w:bottom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8"/>
            </w:tcPr>
            <w:p/>
          </w:tc>
          <w:tc>
            <w:tcPr>
              <w:tcW w:w="2479" w:type="dxa"/>
              <w:gridSpan w:val="7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5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БН61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8"/>
            </w:tcPr>
            <w:p/>
          </w:tc>
          <w:tc>
            <w:tcPr>
              <w:tcW w:w="2479" w:type="dxa"/>
              <w:gridSpan w:val="7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5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6"/>
            </w:tcPr>
            <w:p/>
          </w:tc>
          <w:tc>
            <w:tcPr>
              <w:tcW w:w="1806" w:type="dxa"/>
              <w:gridSpan w:val="5"/>
              <w:tcBorders>
                <w:top w:val="single" w:color="000000" w:sz="1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72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2136" w:type="dxa"/>
              <w:gridSpan w:val="32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34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3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3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34"/>
            </w:tcPr>
            <w:p/>
          </w:tc>
        </w:tr>
        <w:tr>
          <w:trPr>
            <w:trHeight w:val="788"/>
          </w:trPr>
          <w:tc>
            <w:tcPr>
              <w:tcW w:w="15575" w:type="dxa"/>
              <w:gridSpan w:val="33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3726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64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34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6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1691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169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720000Ф.99.1.БН61АБ65000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Поисковое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4.1.6. Агрономия, селекция и защита растений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1023030300021-3-4.1.6 Оценка и выделение перспективных генотипов картофеля с высокой урожайностью, стабильными показателями качества и производство на безвирусной основе семенного материала отечественных конкурентоспособных сортов (FMEW-2023-0002)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8124" w:type="dxa"/>
              <w:gridSpan w:val="13"/>
            </w:tcPr>
            <w:p/>
          </w:tc>
          <w:tc>
            <w:tcPr>
              <w:tcW w:w="7451" w:type="dxa"/>
              <w:gridSpan w:val="20"/>
              <w:tcBorders>
                <w:top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8124" w:type="dxa"/>
              <w:gridSpan w:val="13"/>
            </w:tcPr>
            <w:p/>
          </w:tc>
          <w:tc>
            <w:tcPr>
              <w:tcW w:w="7451" w:type="dxa"/>
              <w:gridSpan w:val="20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1691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1024030700046-7-4.1.6 Использование методов  маркерной селекции для создания новых гибридов кукурузы (FMEW-2024-0012)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8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1691" w:type="dxa"/>
              <w:gridSpan w:val="3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3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01"/>
          </w:trPr>
          <w:tc>
            <w:tcPr>
              <w:tcW w:w="15632" w:type="dxa"/>
              <w:gridSpan w:val="34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57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6838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4857"/>
          <w:gridCol w:w="1806"/>
          <w:gridCol w:w="444"/>
          <w:gridCol w:w="1805"/>
          <w:gridCol w:w="1247"/>
          <w:gridCol w:w="214"/>
          <w:gridCol w:w="5202"/>
          <w:gridCol w:w="57"/>
        </w:tblGrid>
        <w:tr>
          <w:trPr>
            <w:trHeight w:val="444"/>
          </w:trPr>
          <w:tc>
            <w:tcPr>
              <w:tcW w:w="15575" w:type="dxa"/>
              <w:gridSpan w:val="7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III. Прочие сведения о государственном задании</w:t>
              </w:r>
            </w:p>
          </w:tc>
          <w:tc>
            <w:tcPr>
              <w:tcW w:w="57" w:type="dxa"/>
            </w:tcPr>
            <w:p/>
          </w:tc>
        </w:tr>
        <w:tr>
          <w:trPr/>
          <w:tc>
            <w:tcPr>
              <w:tcW w:w="15632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5632" w:type="dxa"/>
              <w:gridSpan w:val="8"/>
            </w:tcPr>
            <w:p/>
          </w:tc>
        </w:tr>
        <w:tr>
          <w:trPr>
            <w:trHeight w:val="558"/>
          </w:trPr>
          <w:tc>
            <w:tcPr>
              <w:tcW w:w="7107" w:type="dxa"/>
              <w:gridSpan w:val="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Основания (условия и порядок) для досрочного прекращения выполнения государственного задания</w:t>
              </w:r>
            </w:p>
          </w:tc>
          <w:tc>
            <w:tcPr>
              <w:tcW w:w="8525" w:type="dxa"/>
              <w:gridSpan w:val="5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иные основания, предусмотренные нормативными актами Российской Федерации;</w:t>
              </w:r>
            </w:p>
          </w:tc>
          <w:tc>
            <w:tcPr>
              <w:tcW w:w="5259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исключение государственной услуги (работы) из перечня государственных услуг (работ);</w:t>
              </w:r>
            </w:p>
          </w:tc>
          <w:tc>
            <w:tcPr>
              <w:tcW w:w="5259" w:type="dxa"/>
              <w:gridSpan w:val="2"/>
            </w:tcPr>
            <w:p/>
          </w:tc>
        </w:tr>
        <w:tr>
          <w:trPr>
            <w:trHeight w:val="330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ликвидация учреждения;</w:t>
              </w:r>
            </w:p>
          </w:tc>
          <w:tc>
            <w:tcPr>
              <w:tcW w:w="5259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реорганизация учреждения.</w:t>
              </w:r>
            </w:p>
          </w:tc>
          <w:tc>
            <w:tcPr>
              <w:tcW w:w="5259" w:type="dxa"/>
              <w:gridSpan w:val="2"/>
            </w:tcPr>
            <w:p/>
          </w:tc>
        </w:tr>
        <w:tr>
          <w:trPr/>
          <w:tc>
            <w:tcPr>
              <w:tcW w:w="15632" w:type="dxa"/>
              <w:gridSpan w:val="8"/>
            </w:tcPr>
            <w:p/>
          </w:tc>
        </w:tr>
        <w:tr>
          <w:trPr>
            <w:trHeight w:val="114"/>
          </w:trPr>
          <w:tc>
            <w:tcPr>
              <w:tcW w:w="15632" w:type="dxa"/>
              <w:gridSpan w:val="8"/>
            </w:tcPr>
            <w:p/>
          </w:tc>
        </w:tr>
        <w:tr>
          <w:trPr>
            <w:trHeight w:val="574"/>
          </w:trPr>
          <w:tc>
            <w:tcPr>
              <w:tcW w:w="8912" w:type="dxa"/>
              <w:gridSpan w:val="4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Иная информация, необходимая для выполнения (контроля за выполнением) государственного задания</w:t>
              </w:r>
            </w:p>
          </w:tc>
          <w:tc>
            <w:tcPr>
              <w:tcW w:w="6720" w:type="dxa"/>
              <w:gridSpan w:val="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по запросу Министерства науки и высшего образования Российской Федерации.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459"/>
          </w:trPr>
          <w:tc>
            <w:tcPr>
              <w:tcW w:w="15632" w:type="dxa"/>
              <w:gridSpan w:val="8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7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Порядок контроля за выполнением государственного задания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573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Формы контроля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Периодичность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Федеральные органы исполнительной власти (государственные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органы), осуществляющие контроль за выполнением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государственного задания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215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01"/>
          </w:trPr>
          <w:tc>
            <w:tcPr>
              <w:tcW w:w="4857" w:type="dxa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Плановая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планами контрольной деятельности Министерства науки и высшего образования Российской Федерации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камеральная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 мере поступления отчетности о выполнении государственного задания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329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4.1. Периодичность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Годовая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 Сроки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основного отчета 15 февраля 2026 года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243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57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4.2.1. Сроки представления предварительного отчета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предварительного отчета 15 октября 2025 года(только по государственным услугам)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2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4.3. Иные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нет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5. Иные показатели, связанные с выполнением государственного задания</w:t>
              </w:r>
            </w:p>
          </w:tc>
          <w:tc>
            <w:tcPr>
              <w:tcW w:w="8969" w:type="dxa"/>
              <w:gridSpan w:val="6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Допустимое (возможное) отклонение от выполнения государственного задания, в %: 10,0000;</w:t>
              </w:r>
            </w:p>
          </w:tc>
          <w:tc>
            <w:tcPr>
              <w:tcW w:w="57" w:type="dxa"/>
            </w:tcPr>
            <w:p/>
          </w:tc>
        </w:tr>
        <w:tr>
          <w:trPr>
            <w:trHeight w:val="143"/>
          </w:trPr>
          <w:tc>
            <w:tcPr>
              <w:tcW w:w="15632" w:type="dxa"/>
              <w:gridSpan w:val="8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(по частям); ..</w:t>
              </w:r>
            </w:p>
          </w:tc>
          <w:tc>
            <w:tcPr>
              <w:tcW w:w="57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6838" w:h="11906" w:orient="landscape"/>
        <w:pgMar w:top="567" w:right="567" w:bottom="517" w:left="567" w:header="567" w:footer="517" w:gutter="0"/>
      </w:sectPr>
    </w:body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2016.2.0 from 23 September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2016.2.0 from 23 September 2016</cp:lastModifiedBy>
  <cp:revision>1</cp:revision>
  <dcterms:created xsi:type="dcterms:W3CDTF">2025-04-09T17:34:10Z</dcterms:created>
  <dcterms:modified xsi:type="dcterms:W3CDTF">2025-04-09T17:34:10Z</dcterms:modified>
</cp:coreProperties>
</file>